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39" w:rsidRDefault="005E0239" w:rsidP="005E0239">
      <w:pPr>
        <w:pStyle w:val="ConsPlusNormal"/>
        <w:jc w:val="both"/>
      </w:pPr>
    </w:p>
    <w:p w:rsidR="005E0239" w:rsidRDefault="005E0239" w:rsidP="005E0239">
      <w:pPr>
        <w:pStyle w:val="ConsPlusNormal"/>
        <w:jc w:val="both"/>
      </w:pPr>
    </w:p>
    <w:p w:rsidR="005E0239" w:rsidRPr="00417E19" w:rsidRDefault="00275847" w:rsidP="006F53F8">
      <w:pPr>
        <w:pStyle w:val="ConsPlusNonformat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17E19">
        <w:rPr>
          <w:rFonts w:ascii="Times New Roman" w:hAnsi="Times New Roman" w:cs="Times New Roman"/>
          <w:b/>
          <w:color w:val="FF0000"/>
          <w:sz w:val="36"/>
          <w:szCs w:val="36"/>
        </w:rPr>
        <w:t>ОТВЕТСТВЕННОСТЬ!!!</w:t>
      </w:r>
    </w:p>
    <w:p w:rsidR="005E0239" w:rsidRPr="00275847" w:rsidRDefault="005E0239" w:rsidP="006F53F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0A88" w:rsidRDefault="006F53F8" w:rsidP="006F53F8">
      <w:pPr>
        <w:pStyle w:val="ConsPlusNonformat"/>
        <w:jc w:val="both"/>
        <w:rPr>
          <w:rFonts w:ascii="Times New Roman" w:eastAsia="Calibri" w:hAnsi="Times New Roman" w:cs="Times New Roman"/>
          <w:b/>
          <w:spacing w:val="-2"/>
          <w:sz w:val="32"/>
          <w:szCs w:val="32"/>
        </w:rPr>
      </w:pPr>
      <w:r w:rsidRPr="00275847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836CF9">
        <w:rPr>
          <w:rFonts w:ascii="Times New Roman" w:hAnsi="Times New Roman" w:cs="Times New Roman"/>
          <w:b/>
          <w:sz w:val="32"/>
          <w:szCs w:val="32"/>
        </w:rPr>
        <w:t>В связи с распространением в средствах массовой информации, сети Интернет и социальных сетях призывов к участию в несанкционированных акциях официально предупреждаем и д</w:t>
      </w:r>
      <w:r w:rsidRPr="00275847">
        <w:rPr>
          <w:rFonts w:ascii="Times New Roman" w:hAnsi="Times New Roman" w:cs="Times New Roman"/>
          <w:b/>
          <w:sz w:val="32"/>
          <w:szCs w:val="32"/>
        </w:rPr>
        <w:t>оводи</w:t>
      </w:r>
      <w:r w:rsidR="00836CF9">
        <w:rPr>
          <w:rFonts w:ascii="Times New Roman" w:hAnsi="Times New Roman" w:cs="Times New Roman"/>
          <w:b/>
          <w:sz w:val="32"/>
          <w:szCs w:val="32"/>
        </w:rPr>
        <w:t>м</w:t>
      </w:r>
      <w:r w:rsidRPr="0027584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0824" w:rsidRPr="00275847">
        <w:rPr>
          <w:rFonts w:ascii="Times New Roman" w:hAnsi="Times New Roman" w:cs="Times New Roman"/>
          <w:b/>
          <w:sz w:val="32"/>
          <w:szCs w:val="32"/>
        </w:rPr>
        <w:t xml:space="preserve">до </w:t>
      </w:r>
      <w:r w:rsidRPr="00275847">
        <w:rPr>
          <w:rFonts w:ascii="Times New Roman" w:hAnsi="Times New Roman" w:cs="Times New Roman"/>
          <w:b/>
          <w:sz w:val="32"/>
          <w:szCs w:val="32"/>
        </w:rPr>
        <w:t>сведения перечень административных правонарушений и уголовных деяний, за совершение которых действующим законодательством Российской Федерации предусмотрена ответственность</w:t>
      </w:r>
      <w:r w:rsidR="0027584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80A88" w:rsidRPr="00275847">
        <w:rPr>
          <w:rFonts w:ascii="Times New Roman" w:eastAsia="Calibri" w:hAnsi="Times New Roman" w:cs="Times New Roman"/>
          <w:b/>
          <w:spacing w:val="-2"/>
          <w:sz w:val="32"/>
          <w:szCs w:val="32"/>
        </w:rPr>
        <w:t>(статьи 5.38 «</w:t>
      </w:r>
      <w:r w:rsidR="00680A88" w:rsidRPr="00275847">
        <w:rPr>
          <w:rFonts w:ascii="Times New Roman" w:hAnsi="Times New Roman" w:cs="Times New Roman"/>
          <w:b/>
          <w:spacing w:val="-2"/>
          <w:sz w:val="32"/>
          <w:szCs w:val="32"/>
        </w:rPr>
        <w:t>Нарушение законодательства о собраниях, митингах, демонстрациях, шествиях и пикетировании»</w:t>
      </w:r>
      <w:r w:rsidR="00680A88" w:rsidRPr="00275847">
        <w:rPr>
          <w:rFonts w:ascii="Times New Roman" w:eastAsia="Calibri" w:hAnsi="Times New Roman" w:cs="Times New Roman"/>
          <w:b/>
          <w:spacing w:val="-2"/>
          <w:sz w:val="32"/>
          <w:szCs w:val="32"/>
        </w:rPr>
        <w:t xml:space="preserve">, </w:t>
      </w:r>
      <w:r w:rsidRPr="00275847">
        <w:rPr>
          <w:rFonts w:ascii="Times New Roman" w:eastAsia="Calibri" w:hAnsi="Times New Roman" w:cs="Times New Roman"/>
          <w:b/>
          <w:spacing w:val="-2"/>
          <w:sz w:val="32"/>
          <w:szCs w:val="32"/>
        </w:rPr>
        <w:t xml:space="preserve">7.17 «Уничтожение или повреждение чужого имущества», 19.3 «Неповиновение законному распоряжению сотрудника полиции», 20.1 «Мелкое хулиганство», </w:t>
      </w:r>
      <w:r w:rsidR="00680A88" w:rsidRPr="00275847">
        <w:rPr>
          <w:rFonts w:ascii="Times New Roman" w:eastAsia="Calibri" w:hAnsi="Times New Roman" w:cs="Times New Roman"/>
          <w:b/>
          <w:spacing w:val="-2"/>
          <w:sz w:val="32"/>
          <w:szCs w:val="32"/>
        </w:rPr>
        <w:t>20.2 «</w:t>
      </w:r>
      <w:r w:rsidR="00680A88" w:rsidRPr="00275847">
        <w:rPr>
          <w:rFonts w:ascii="Times New Roman" w:hAnsi="Times New Roman" w:cs="Times New Roman"/>
          <w:b/>
          <w:spacing w:val="-2"/>
          <w:sz w:val="32"/>
          <w:szCs w:val="32"/>
        </w:rPr>
        <w:t>Нарушение установленного порядка организации либо проведения собрания, митинга, демонстрации, шествия или пикетирования»</w:t>
      </w:r>
      <w:r w:rsidR="00680A88" w:rsidRPr="00275847">
        <w:rPr>
          <w:rFonts w:ascii="Times New Roman" w:eastAsia="Calibri" w:hAnsi="Times New Roman" w:cs="Times New Roman"/>
          <w:b/>
          <w:spacing w:val="-2"/>
          <w:sz w:val="32"/>
          <w:szCs w:val="32"/>
        </w:rPr>
        <w:t>, 20.2.2 «</w:t>
      </w:r>
      <w:r w:rsidR="00680A88" w:rsidRPr="00275847">
        <w:rPr>
          <w:rFonts w:ascii="Times New Roman" w:hAnsi="Times New Roman" w:cs="Times New Roman"/>
          <w:b/>
          <w:spacing w:val="-2"/>
          <w:sz w:val="32"/>
          <w:szCs w:val="32"/>
        </w:rPr>
        <w:t>Организация массового одновременного пребывания и (или) передвижения граждан в общественных местах, повлекших нарушение общественного порядка»</w:t>
      </w:r>
      <w:r w:rsidR="00680A88" w:rsidRPr="00275847">
        <w:rPr>
          <w:rFonts w:ascii="Times New Roman" w:eastAsia="Calibri" w:hAnsi="Times New Roman" w:cs="Times New Roman"/>
          <w:b/>
          <w:spacing w:val="-2"/>
          <w:sz w:val="32"/>
          <w:szCs w:val="32"/>
        </w:rPr>
        <w:t>, 20.18 «</w:t>
      </w:r>
      <w:r w:rsidR="00680A88" w:rsidRPr="00275847">
        <w:rPr>
          <w:rFonts w:ascii="Times New Roman" w:hAnsi="Times New Roman" w:cs="Times New Roman"/>
          <w:b/>
          <w:spacing w:val="-2"/>
          <w:sz w:val="32"/>
          <w:szCs w:val="32"/>
        </w:rPr>
        <w:t>Блокирование транспортных коммуникаций»</w:t>
      </w:r>
      <w:r w:rsidR="00680A88" w:rsidRPr="00275847">
        <w:rPr>
          <w:rFonts w:ascii="Times New Roman" w:eastAsia="Calibri" w:hAnsi="Times New Roman" w:cs="Times New Roman"/>
          <w:b/>
          <w:spacing w:val="-2"/>
          <w:sz w:val="32"/>
          <w:szCs w:val="32"/>
        </w:rPr>
        <w:t xml:space="preserve"> Кодекса Российской Федерации об административных правонарушениях, </w:t>
      </w:r>
      <w:r w:rsidRPr="00275847">
        <w:rPr>
          <w:rFonts w:ascii="Times New Roman" w:eastAsia="Calibri" w:hAnsi="Times New Roman" w:cs="Times New Roman"/>
          <w:b/>
          <w:spacing w:val="-2"/>
          <w:sz w:val="32"/>
          <w:szCs w:val="32"/>
        </w:rPr>
        <w:t>стать</w:t>
      </w:r>
      <w:r w:rsidR="006F355E" w:rsidRPr="00275847">
        <w:rPr>
          <w:rFonts w:ascii="Times New Roman" w:eastAsia="Calibri" w:hAnsi="Times New Roman" w:cs="Times New Roman"/>
          <w:b/>
          <w:spacing w:val="-2"/>
          <w:sz w:val="32"/>
          <w:szCs w:val="32"/>
        </w:rPr>
        <w:t>и</w:t>
      </w:r>
      <w:r w:rsidRPr="00275847">
        <w:rPr>
          <w:rFonts w:ascii="Times New Roman" w:eastAsia="Calibri" w:hAnsi="Times New Roman" w:cs="Times New Roman"/>
          <w:b/>
          <w:spacing w:val="-2"/>
          <w:sz w:val="32"/>
          <w:szCs w:val="32"/>
        </w:rPr>
        <w:t xml:space="preserve"> 167 «Уничтожение или повреждение имущества», 212 «</w:t>
      </w:r>
      <w:r w:rsidR="006F355E" w:rsidRPr="00275847">
        <w:rPr>
          <w:rFonts w:ascii="Times New Roman" w:eastAsia="Calibri" w:hAnsi="Times New Roman" w:cs="Times New Roman"/>
          <w:b/>
          <w:spacing w:val="-2"/>
          <w:sz w:val="32"/>
          <w:szCs w:val="32"/>
        </w:rPr>
        <w:t xml:space="preserve">Массовые беспорядки», </w:t>
      </w:r>
      <w:r w:rsidR="00680A88" w:rsidRPr="00275847">
        <w:rPr>
          <w:rFonts w:ascii="Times New Roman" w:eastAsia="Calibri" w:hAnsi="Times New Roman" w:cs="Times New Roman"/>
          <w:b/>
          <w:spacing w:val="-2"/>
          <w:sz w:val="32"/>
          <w:szCs w:val="32"/>
        </w:rPr>
        <w:t>212.1 «</w:t>
      </w:r>
      <w:r w:rsidR="00680A88" w:rsidRPr="00275847">
        <w:rPr>
          <w:rFonts w:ascii="Times New Roman" w:hAnsi="Times New Roman" w:cs="Times New Roman"/>
          <w:b/>
          <w:spacing w:val="-2"/>
          <w:sz w:val="32"/>
          <w:szCs w:val="32"/>
        </w:rPr>
        <w:t>Неоднократное нарушение установленного порядка организации либо проведения собрания, митинга, демонстрации, шествия или пикетирования»</w:t>
      </w:r>
      <w:r w:rsidR="006F355E" w:rsidRPr="00275847">
        <w:rPr>
          <w:rFonts w:ascii="Times New Roman" w:hAnsi="Times New Roman" w:cs="Times New Roman"/>
          <w:b/>
          <w:spacing w:val="-2"/>
          <w:sz w:val="32"/>
          <w:szCs w:val="32"/>
        </w:rPr>
        <w:t xml:space="preserve">, 213 «Хулиганство» 214 «Вандализм», 317 «Посягательство на жизнь сотрудника правоохранительного органа», 318 «Применение </w:t>
      </w:r>
      <w:r w:rsidR="00680A88" w:rsidRPr="00275847">
        <w:rPr>
          <w:rFonts w:ascii="Times New Roman" w:hAnsi="Times New Roman" w:cs="Times New Roman"/>
          <w:b/>
          <w:spacing w:val="-2"/>
          <w:sz w:val="32"/>
          <w:szCs w:val="32"/>
        </w:rPr>
        <w:t xml:space="preserve"> </w:t>
      </w:r>
      <w:r w:rsidR="006F355E" w:rsidRPr="00275847">
        <w:rPr>
          <w:rFonts w:ascii="Times New Roman" w:hAnsi="Times New Roman" w:cs="Times New Roman"/>
          <w:b/>
          <w:spacing w:val="-2"/>
          <w:sz w:val="32"/>
          <w:szCs w:val="32"/>
        </w:rPr>
        <w:t xml:space="preserve">насилия в отношении представителя власти», 319 « Оскорбление представителя власти» </w:t>
      </w:r>
      <w:r w:rsidR="00680A88" w:rsidRPr="00275847">
        <w:rPr>
          <w:rFonts w:ascii="Times New Roman" w:eastAsia="Calibri" w:hAnsi="Times New Roman" w:cs="Times New Roman"/>
          <w:b/>
          <w:spacing w:val="-2"/>
          <w:sz w:val="32"/>
          <w:szCs w:val="32"/>
        </w:rPr>
        <w:t>Уголовного кодекса Российской Федерации)</w:t>
      </w:r>
      <w:r w:rsidR="00A35DFA" w:rsidRPr="00275847">
        <w:rPr>
          <w:rFonts w:ascii="Times New Roman" w:eastAsia="Calibri" w:hAnsi="Times New Roman" w:cs="Times New Roman"/>
          <w:b/>
          <w:spacing w:val="-2"/>
          <w:sz w:val="32"/>
          <w:szCs w:val="32"/>
        </w:rPr>
        <w:t>.</w:t>
      </w:r>
    </w:p>
    <w:p w:rsidR="00417E19" w:rsidRDefault="00417E19" w:rsidP="006F53F8">
      <w:pPr>
        <w:pStyle w:val="ConsPlusNonformat"/>
        <w:jc w:val="both"/>
        <w:rPr>
          <w:rFonts w:ascii="Times New Roman" w:eastAsia="Calibri" w:hAnsi="Times New Roman" w:cs="Times New Roman"/>
          <w:b/>
          <w:spacing w:val="-2"/>
          <w:sz w:val="32"/>
          <w:szCs w:val="32"/>
        </w:rPr>
      </w:pPr>
    </w:p>
    <w:p w:rsidR="00417E19" w:rsidRDefault="00417E19" w:rsidP="006F53F8">
      <w:pPr>
        <w:pStyle w:val="ConsPlusNonformat"/>
        <w:jc w:val="both"/>
        <w:rPr>
          <w:rFonts w:ascii="Times New Roman" w:eastAsia="Calibri" w:hAnsi="Times New Roman" w:cs="Times New Roman"/>
          <w:b/>
          <w:spacing w:val="-2"/>
          <w:sz w:val="32"/>
          <w:szCs w:val="32"/>
        </w:rPr>
      </w:pPr>
      <w:r>
        <w:rPr>
          <w:rFonts w:ascii="Times New Roman" w:eastAsia="Calibri" w:hAnsi="Times New Roman" w:cs="Times New Roman"/>
          <w:b/>
          <w:spacing w:val="-2"/>
          <w:sz w:val="32"/>
          <w:szCs w:val="32"/>
        </w:rPr>
        <w:t>В случае какой-либо имеющейся информации просьба незамедлительно сообщать в полицию по телефону:</w:t>
      </w:r>
    </w:p>
    <w:p w:rsidR="00417E19" w:rsidRPr="00275847" w:rsidRDefault="00417E19" w:rsidP="006F53F8">
      <w:pPr>
        <w:pStyle w:val="ConsPlusNonformat"/>
        <w:jc w:val="both"/>
        <w:rPr>
          <w:rFonts w:ascii="Times New Roman" w:eastAsia="Calibri" w:hAnsi="Times New Roman" w:cs="Times New Roman"/>
          <w:b/>
          <w:spacing w:val="-2"/>
          <w:sz w:val="32"/>
          <w:szCs w:val="32"/>
        </w:rPr>
      </w:pPr>
      <w:r>
        <w:rPr>
          <w:rFonts w:ascii="Times New Roman" w:eastAsia="Calibri" w:hAnsi="Times New Roman" w:cs="Times New Roman"/>
          <w:b/>
          <w:spacing w:val="-2"/>
          <w:sz w:val="32"/>
          <w:szCs w:val="32"/>
        </w:rPr>
        <w:t>-02; 2-10-56</w:t>
      </w:r>
    </w:p>
    <w:p w:rsidR="007F2181" w:rsidRPr="00275847" w:rsidRDefault="007F2181" w:rsidP="006F53F8">
      <w:pPr>
        <w:pStyle w:val="ConsPlusNonformat"/>
        <w:jc w:val="both"/>
        <w:rPr>
          <w:rFonts w:ascii="Times New Roman" w:eastAsia="Calibri" w:hAnsi="Times New Roman" w:cs="Times New Roman"/>
          <w:b/>
          <w:spacing w:val="-2"/>
          <w:sz w:val="32"/>
          <w:szCs w:val="32"/>
        </w:rPr>
      </w:pPr>
    </w:p>
    <w:p w:rsidR="00A35DFA" w:rsidRPr="00275847" w:rsidRDefault="00A35DFA" w:rsidP="006F53F8">
      <w:pPr>
        <w:pStyle w:val="ConsPlusNonformat"/>
        <w:jc w:val="both"/>
        <w:rPr>
          <w:rFonts w:ascii="Times New Roman" w:hAnsi="Times New Roman" w:cs="Times New Roman"/>
          <w:spacing w:val="-2"/>
          <w:sz w:val="32"/>
          <w:szCs w:val="32"/>
        </w:rPr>
      </w:pPr>
      <w:bookmarkStart w:id="0" w:name="_GoBack"/>
      <w:bookmarkEnd w:id="0"/>
    </w:p>
    <w:sectPr w:rsidR="00A35DFA" w:rsidRPr="00275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A36B1"/>
    <w:multiLevelType w:val="multilevel"/>
    <w:tmpl w:val="95A20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6" w:hanging="375"/>
      </w:pPr>
    </w:lvl>
    <w:lvl w:ilvl="2">
      <w:start w:val="1"/>
      <w:numFmt w:val="decimal"/>
      <w:isLgl/>
      <w:lvlText w:val="%1.%2.%3"/>
      <w:lvlJc w:val="left"/>
      <w:pPr>
        <w:ind w:left="2062" w:hanging="720"/>
      </w:pPr>
    </w:lvl>
    <w:lvl w:ilvl="3">
      <w:start w:val="1"/>
      <w:numFmt w:val="decimal"/>
      <w:isLgl/>
      <w:lvlText w:val="%1.%2.%3.%4"/>
      <w:lvlJc w:val="left"/>
      <w:pPr>
        <w:ind w:left="2913" w:hanging="1080"/>
      </w:pPr>
    </w:lvl>
    <w:lvl w:ilvl="4">
      <w:start w:val="1"/>
      <w:numFmt w:val="decimal"/>
      <w:isLgl/>
      <w:lvlText w:val="%1.%2.%3.%4.%5"/>
      <w:lvlJc w:val="left"/>
      <w:pPr>
        <w:ind w:left="3404" w:hanging="1080"/>
      </w:pPr>
    </w:lvl>
    <w:lvl w:ilvl="5">
      <w:start w:val="1"/>
      <w:numFmt w:val="decimal"/>
      <w:isLgl/>
      <w:lvlText w:val="%1.%2.%3.%4.%5.%6"/>
      <w:lvlJc w:val="left"/>
      <w:pPr>
        <w:ind w:left="4255" w:hanging="1440"/>
      </w:pPr>
    </w:lvl>
    <w:lvl w:ilvl="6">
      <w:start w:val="1"/>
      <w:numFmt w:val="decimal"/>
      <w:isLgl/>
      <w:lvlText w:val="%1.%2.%3.%4.%5.%6.%7"/>
      <w:lvlJc w:val="left"/>
      <w:pPr>
        <w:ind w:left="4746" w:hanging="1440"/>
      </w:p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B8"/>
    <w:rsid w:val="00275847"/>
    <w:rsid w:val="003F0824"/>
    <w:rsid w:val="00417E19"/>
    <w:rsid w:val="00432E96"/>
    <w:rsid w:val="004B6095"/>
    <w:rsid w:val="004C598F"/>
    <w:rsid w:val="004D632C"/>
    <w:rsid w:val="004F4CB0"/>
    <w:rsid w:val="00520617"/>
    <w:rsid w:val="005840B8"/>
    <w:rsid w:val="005E0239"/>
    <w:rsid w:val="00680A88"/>
    <w:rsid w:val="006F355E"/>
    <w:rsid w:val="006F53F8"/>
    <w:rsid w:val="007F2181"/>
    <w:rsid w:val="00836CF9"/>
    <w:rsid w:val="00A35DFA"/>
    <w:rsid w:val="00A97FB6"/>
    <w:rsid w:val="00D738B9"/>
    <w:rsid w:val="00EF5C28"/>
    <w:rsid w:val="00F7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0239"/>
    <w:rPr>
      <w:color w:val="0563C1" w:themeColor="hyperlink"/>
      <w:u w:val="single"/>
    </w:rPr>
  </w:style>
  <w:style w:type="paragraph" w:customStyle="1" w:styleId="ConsPlusNormal">
    <w:name w:val="ConsPlusNormal"/>
    <w:rsid w:val="005E02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02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unhideWhenUsed/>
    <w:rsid w:val="00680A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680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5D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0239"/>
    <w:rPr>
      <w:color w:val="0563C1" w:themeColor="hyperlink"/>
      <w:u w:val="single"/>
    </w:rPr>
  </w:style>
  <w:style w:type="paragraph" w:customStyle="1" w:styleId="ConsPlusNormal">
    <w:name w:val="ConsPlusNormal"/>
    <w:rsid w:val="005E02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02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unhideWhenUsed/>
    <w:rsid w:val="00680A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680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5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ПДН</dc:creator>
  <cp:lastModifiedBy>User</cp:lastModifiedBy>
  <cp:revision>22</cp:revision>
  <cp:lastPrinted>2021-01-24T09:24:00Z</cp:lastPrinted>
  <dcterms:created xsi:type="dcterms:W3CDTF">2020-11-16T12:24:00Z</dcterms:created>
  <dcterms:modified xsi:type="dcterms:W3CDTF">2021-01-24T09:24:00Z</dcterms:modified>
</cp:coreProperties>
</file>